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AC35" w14:textId="6A5110C5" w:rsidR="00316629" w:rsidRPr="00D533AE" w:rsidRDefault="00E40203" w:rsidP="00D533AE">
      <w:pPr>
        <w:shd w:val="clear" w:color="auto" w:fill="FFFFFF"/>
        <w:spacing w:after="0" w:line="495" w:lineRule="atLeast"/>
        <w:outlineLvl w:val="0"/>
        <w:rPr>
          <w:rFonts w:eastAsia="Times New Roman" w:cstheme="minorHAnsi"/>
          <w:bCs/>
          <w:color w:val="000000" w:themeColor="text1"/>
          <w:kern w:val="36"/>
          <w:sz w:val="45"/>
          <w:szCs w:val="45"/>
        </w:rPr>
      </w:pPr>
      <w:r>
        <w:rPr>
          <w:rFonts w:eastAsia="Times New Roman" w:cstheme="minorHAnsi"/>
          <w:noProof/>
          <w:color w:val="000000" w:themeColor="text1"/>
        </w:rPr>
        <w:drawing>
          <wp:anchor distT="0" distB="0" distL="114300" distR="114300" simplePos="0" relativeHeight="251658240" behindDoc="1" locked="0" layoutInCell="1" allowOverlap="1" wp14:anchorId="42FD39F8" wp14:editId="0ADDF965">
            <wp:simplePos x="0" y="0"/>
            <wp:positionH relativeFrom="column">
              <wp:posOffset>4162425</wp:posOffset>
            </wp:positionH>
            <wp:positionV relativeFrom="paragraph">
              <wp:posOffset>0</wp:posOffset>
            </wp:positionV>
            <wp:extent cx="1554480" cy="1140755"/>
            <wp:effectExtent l="0" t="0" r="7620" b="2540"/>
            <wp:wrapTight wrapText="bothSides">
              <wp:wrapPolygon edited="0">
                <wp:start x="0" y="0"/>
                <wp:lineTo x="0" y="21287"/>
                <wp:lineTo x="21441" y="21287"/>
                <wp:lineTo x="21441" y="0"/>
                <wp:lineTo x="0" y="0"/>
              </wp:wrapPolygon>
            </wp:wrapTight>
            <wp:docPr id="1493092558" name="Picture 1" descr="A red white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092558" name="Picture 1" descr="A red white and blue logo&#10;&#10;Description automatically generated"/>
                    <pic:cNvPicPr/>
                  </pic:nvPicPr>
                  <pic:blipFill rotWithShape="1">
                    <a:blip r:embed="rId11" cstate="print">
                      <a:extLst>
                        <a:ext uri="{28A0092B-C50C-407E-A947-70E740481C1C}">
                          <a14:useLocalDpi xmlns:a14="http://schemas.microsoft.com/office/drawing/2010/main" val="0"/>
                        </a:ext>
                      </a:extLst>
                    </a:blip>
                    <a:srcRect l="18430" t="19289" r="19551" b="21806"/>
                    <a:stretch/>
                  </pic:blipFill>
                  <pic:spPr bwMode="auto">
                    <a:xfrm>
                      <a:off x="0" y="0"/>
                      <a:ext cx="1554480" cy="1140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16629" w:rsidRPr="00D533AE">
        <w:rPr>
          <w:rFonts w:eastAsia="Times New Roman" w:cstheme="minorHAnsi"/>
          <w:bCs/>
          <w:color w:val="000000" w:themeColor="text1"/>
          <w:kern w:val="36"/>
          <w:sz w:val="45"/>
          <w:szCs w:val="45"/>
        </w:rPr>
        <w:t>For Immediate Release</w:t>
      </w:r>
    </w:p>
    <w:p w14:paraId="246C07EE" w14:textId="75C0C44C" w:rsidR="00D533AE" w:rsidRDefault="00D533AE" w:rsidP="00075D1B">
      <w:pPr>
        <w:shd w:val="clear" w:color="auto" w:fill="FFFFFF"/>
        <w:spacing w:after="0" w:line="240" w:lineRule="auto"/>
        <w:outlineLvl w:val="0"/>
        <w:rPr>
          <w:rFonts w:eastAsia="Times New Roman" w:cstheme="minorHAnsi"/>
          <w:bCs/>
          <w:color w:val="000000" w:themeColor="text1"/>
          <w:kern w:val="36"/>
          <w:sz w:val="28"/>
          <w:szCs w:val="45"/>
        </w:rPr>
      </w:pPr>
      <w:r w:rsidRPr="00D533AE">
        <w:rPr>
          <w:rFonts w:eastAsia="Times New Roman" w:cstheme="minorHAnsi"/>
          <w:bCs/>
          <w:color w:val="000000" w:themeColor="text1"/>
          <w:kern w:val="36"/>
          <w:sz w:val="28"/>
          <w:szCs w:val="45"/>
        </w:rPr>
        <w:t>Media contact: Joe Gimenez, 713.478.8034</w:t>
      </w:r>
    </w:p>
    <w:p w14:paraId="7F377C76" w14:textId="139D625C" w:rsidR="00693202" w:rsidRPr="00D533AE" w:rsidRDefault="00693202" w:rsidP="00075D1B">
      <w:pPr>
        <w:shd w:val="clear" w:color="auto" w:fill="FFFFFF"/>
        <w:spacing w:after="0" w:line="240" w:lineRule="auto"/>
        <w:outlineLvl w:val="0"/>
        <w:rPr>
          <w:rFonts w:eastAsia="Times New Roman" w:cstheme="minorHAnsi"/>
          <w:bCs/>
          <w:color w:val="000000" w:themeColor="text1"/>
          <w:kern w:val="36"/>
          <w:sz w:val="28"/>
          <w:szCs w:val="45"/>
        </w:rPr>
      </w:pPr>
      <w:r>
        <w:rPr>
          <w:rFonts w:eastAsia="Times New Roman" w:cstheme="minorHAnsi"/>
          <w:bCs/>
          <w:color w:val="000000" w:themeColor="text1"/>
          <w:kern w:val="36"/>
          <w:sz w:val="28"/>
          <w:szCs w:val="45"/>
        </w:rPr>
        <w:t>Joe.Gimenez@g3PublicRelations.com</w:t>
      </w:r>
    </w:p>
    <w:p w14:paraId="4099ECE1" w14:textId="77777777" w:rsidR="00316629" w:rsidRPr="00435DFE" w:rsidRDefault="00316629" w:rsidP="005A6313">
      <w:pPr>
        <w:shd w:val="clear" w:color="auto" w:fill="FFFFFF"/>
        <w:spacing w:after="300" w:line="495" w:lineRule="atLeast"/>
        <w:outlineLvl w:val="0"/>
        <w:rPr>
          <w:rFonts w:ascii="MyriadPro-BoldCond" w:eastAsia="Times New Roman" w:hAnsi="MyriadPro-BoldCond" w:cs="Times New Roman"/>
          <w:b/>
          <w:bCs/>
          <w:color w:val="000000" w:themeColor="text1"/>
          <w:kern w:val="36"/>
          <w:sz w:val="33"/>
          <w:szCs w:val="45"/>
        </w:rPr>
      </w:pPr>
    </w:p>
    <w:p w14:paraId="6F161A87" w14:textId="3F793FB4" w:rsidR="005A6313" w:rsidRDefault="00293CDC" w:rsidP="005A6313">
      <w:pPr>
        <w:shd w:val="clear" w:color="auto" w:fill="FFFFFF"/>
        <w:spacing w:after="300" w:line="495" w:lineRule="atLeast"/>
        <w:outlineLvl w:val="0"/>
        <w:rPr>
          <w:rFonts w:ascii="MyriadPro-BoldCond" w:eastAsia="Times New Roman" w:hAnsi="MyriadPro-BoldCond" w:cs="Times New Roman"/>
          <w:b/>
          <w:bCs/>
          <w:color w:val="000000" w:themeColor="text1"/>
          <w:kern w:val="36"/>
          <w:sz w:val="45"/>
          <w:szCs w:val="45"/>
        </w:rPr>
      </w:pPr>
      <w:r>
        <w:rPr>
          <w:rFonts w:ascii="MyriadPro-BoldCond" w:eastAsia="Times New Roman" w:hAnsi="MyriadPro-BoldCond" w:cs="Times New Roman"/>
          <w:b/>
          <w:bCs/>
          <w:color w:val="000000" w:themeColor="text1"/>
          <w:kern w:val="36"/>
          <w:sz w:val="45"/>
          <w:szCs w:val="45"/>
        </w:rPr>
        <w:t>Pension Association Recognizes El Paso</w:t>
      </w:r>
      <w:r w:rsidR="00127ED4">
        <w:rPr>
          <w:rFonts w:ascii="MyriadPro-BoldCond" w:eastAsia="Times New Roman" w:hAnsi="MyriadPro-BoldCond" w:cs="Times New Roman"/>
          <w:b/>
          <w:bCs/>
          <w:color w:val="000000" w:themeColor="text1"/>
          <w:kern w:val="36"/>
          <w:sz w:val="45"/>
          <w:szCs w:val="45"/>
        </w:rPr>
        <w:t xml:space="preserve"> Firemen and Policemen’s Pension </w:t>
      </w:r>
      <w:r w:rsidR="00B80C02">
        <w:rPr>
          <w:rFonts w:ascii="MyriadPro-BoldCond" w:eastAsia="Times New Roman" w:hAnsi="MyriadPro-BoldCond" w:cs="Times New Roman"/>
          <w:b/>
          <w:bCs/>
          <w:color w:val="000000" w:themeColor="text1"/>
          <w:kern w:val="36"/>
          <w:sz w:val="45"/>
          <w:szCs w:val="45"/>
        </w:rPr>
        <w:t xml:space="preserve">Fund </w:t>
      </w:r>
      <w:r w:rsidR="00127ED4">
        <w:rPr>
          <w:rFonts w:ascii="MyriadPro-BoldCond" w:eastAsia="Times New Roman" w:hAnsi="MyriadPro-BoldCond" w:cs="Times New Roman"/>
          <w:b/>
          <w:bCs/>
          <w:color w:val="000000" w:themeColor="text1"/>
          <w:kern w:val="36"/>
          <w:sz w:val="45"/>
          <w:szCs w:val="45"/>
        </w:rPr>
        <w:t xml:space="preserve">for 20-year </w:t>
      </w:r>
      <w:proofErr w:type="gramStart"/>
      <w:r w:rsidR="00127ED4">
        <w:rPr>
          <w:rFonts w:ascii="MyriadPro-BoldCond" w:eastAsia="Times New Roman" w:hAnsi="MyriadPro-BoldCond" w:cs="Times New Roman"/>
          <w:b/>
          <w:bCs/>
          <w:color w:val="000000" w:themeColor="text1"/>
          <w:kern w:val="36"/>
          <w:sz w:val="45"/>
          <w:szCs w:val="45"/>
        </w:rPr>
        <w:t>Performance</w:t>
      </w:r>
      <w:proofErr w:type="gramEnd"/>
      <w:r>
        <w:rPr>
          <w:rFonts w:ascii="MyriadPro-BoldCond" w:eastAsia="Times New Roman" w:hAnsi="MyriadPro-BoldCond" w:cs="Times New Roman"/>
          <w:b/>
          <w:bCs/>
          <w:color w:val="000000" w:themeColor="text1"/>
          <w:kern w:val="36"/>
          <w:sz w:val="45"/>
          <w:szCs w:val="45"/>
        </w:rPr>
        <w:t xml:space="preserve"> </w:t>
      </w:r>
    </w:p>
    <w:p w14:paraId="7BF5E08A" w14:textId="28B5D342" w:rsidR="00B843F6" w:rsidRDefault="008849D3" w:rsidP="00B843F6">
      <w:pPr>
        <w:pStyle w:val="NormalWeb"/>
        <w:spacing w:before="0" w:beforeAutospacing="0" w:after="0" w:afterAutospacing="0"/>
        <w:rPr>
          <w:color w:val="0E101A"/>
        </w:rPr>
      </w:pPr>
      <w:r>
        <w:rPr>
          <w:rFonts w:eastAsia="Times New Roman" w:cstheme="minorHAnsi"/>
          <w:color w:val="000000" w:themeColor="text1"/>
        </w:rPr>
        <w:t xml:space="preserve">AUSTIN </w:t>
      </w:r>
      <w:r w:rsidR="005A6313" w:rsidRPr="00AC798D">
        <w:rPr>
          <w:rFonts w:eastAsia="Times New Roman" w:cstheme="minorHAnsi"/>
          <w:color w:val="000000" w:themeColor="text1"/>
        </w:rPr>
        <w:t>(</w:t>
      </w:r>
      <w:r w:rsidR="006E7838">
        <w:rPr>
          <w:rFonts w:eastAsia="Times New Roman" w:cstheme="minorHAnsi"/>
          <w:color w:val="000000" w:themeColor="text1"/>
        </w:rPr>
        <w:t xml:space="preserve">September </w:t>
      </w:r>
      <w:r w:rsidR="00E40203">
        <w:rPr>
          <w:rFonts w:eastAsia="Times New Roman" w:cstheme="minorHAnsi"/>
          <w:color w:val="000000" w:themeColor="text1"/>
        </w:rPr>
        <w:t>8</w:t>
      </w:r>
      <w:r w:rsidR="005A6313" w:rsidRPr="00AC798D">
        <w:rPr>
          <w:rFonts w:eastAsia="Times New Roman" w:cstheme="minorHAnsi"/>
          <w:color w:val="000000" w:themeColor="text1"/>
        </w:rPr>
        <w:t>, 20</w:t>
      </w:r>
      <w:r>
        <w:rPr>
          <w:rFonts w:eastAsia="Times New Roman" w:cstheme="minorHAnsi"/>
          <w:color w:val="000000" w:themeColor="text1"/>
        </w:rPr>
        <w:t>2</w:t>
      </w:r>
      <w:r w:rsidR="0012383B">
        <w:rPr>
          <w:rFonts w:eastAsia="Times New Roman" w:cstheme="minorHAnsi"/>
          <w:color w:val="000000" w:themeColor="text1"/>
        </w:rPr>
        <w:t>3</w:t>
      </w:r>
      <w:r w:rsidR="005A6313" w:rsidRPr="00AC798D">
        <w:rPr>
          <w:rFonts w:eastAsia="Times New Roman" w:cstheme="minorHAnsi"/>
          <w:color w:val="000000" w:themeColor="text1"/>
        </w:rPr>
        <w:t>) –</w:t>
      </w:r>
      <w:r w:rsidR="000665FE">
        <w:rPr>
          <w:rFonts w:eastAsia="Times New Roman" w:cstheme="minorHAnsi"/>
          <w:color w:val="000000" w:themeColor="text1"/>
        </w:rPr>
        <w:t xml:space="preserve"> </w:t>
      </w:r>
      <w:r w:rsidR="00B843F6">
        <w:rPr>
          <w:color w:val="0E101A"/>
        </w:rPr>
        <w:t>The statewide professional membership association for administrators and trustees of public employee pension systems recognized the El Paso Firemen and Policemen’s Pension Fund for its continuing excellence in the key 20-year time frame, according to a comparative study it performs each year.</w:t>
      </w:r>
    </w:p>
    <w:p w14:paraId="22B41B26" w14:textId="77777777" w:rsidR="00B843F6" w:rsidRDefault="00B843F6" w:rsidP="00B843F6">
      <w:pPr>
        <w:pStyle w:val="NormalWeb"/>
        <w:spacing w:before="0" w:beforeAutospacing="0" w:after="0" w:afterAutospacing="0"/>
        <w:rPr>
          <w:color w:val="0E101A"/>
        </w:rPr>
      </w:pPr>
    </w:p>
    <w:p w14:paraId="728254F2" w14:textId="34F2781C" w:rsidR="00B843F6" w:rsidRDefault="00B843F6" w:rsidP="00B843F6">
      <w:pPr>
        <w:pStyle w:val="NormalWeb"/>
        <w:spacing w:before="0" w:beforeAutospacing="0" w:after="0" w:afterAutospacing="0"/>
        <w:rPr>
          <w:color w:val="0E101A"/>
        </w:rPr>
      </w:pPr>
      <w:r>
        <w:rPr>
          <w:color w:val="0E101A"/>
        </w:rPr>
        <w:t>“The El Paso Board</w:t>
      </w:r>
      <w:r w:rsidR="00D83517">
        <w:rPr>
          <w:color w:val="0E101A"/>
        </w:rPr>
        <w:t>’s</w:t>
      </w:r>
      <w:r>
        <w:rPr>
          <w:color w:val="0E101A"/>
        </w:rPr>
        <w:t xml:space="preserve"> and staff</w:t>
      </w:r>
      <w:r w:rsidR="00D83517">
        <w:rPr>
          <w:color w:val="0E101A"/>
        </w:rPr>
        <w:t>’s</w:t>
      </w:r>
      <w:r>
        <w:rPr>
          <w:color w:val="0E101A"/>
        </w:rPr>
        <w:t xml:space="preserve"> </w:t>
      </w:r>
      <w:r w:rsidR="00D83517">
        <w:rPr>
          <w:color w:val="0E101A"/>
        </w:rPr>
        <w:t xml:space="preserve">decisions </w:t>
      </w:r>
      <w:r w:rsidR="0084555F">
        <w:rPr>
          <w:color w:val="0E101A"/>
        </w:rPr>
        <w:t xml:space="preserve">facilitated </w:t>
      </w:r>
      <w:r>
        <w:rPr>
          <w:color w:val="0E101A"/>
        </w:rPr>
        <w:t xml:space="preserve">returns that are clearly among the best-performing systems in Texas and indeed the country,” said Sherry Mose, the Board </w:t>
      </w:r>
      <w:r w:rsidR="0084555F">
        <w:rPr>
          <w:color w:val="0E101A"/>
        </w:rPr>
        <w:t xml:space="preserve">President </w:t>
      </w:r>
      <w:r>
        <w:rPr>
          <w:color w:val="0E101A"/>
        </w:rPr>
        <w:t>of the </w:t>
      </w:r>
      <w:hyperlink r:id="rId12" w:tgtFrame="_blank" w:history="1">
        <w:r>
          <w:rPr>
            <w:rStyle w:val="Hyperlink"/>
            <w:color w:val="4A6EE0"/>
          </w:rPr>
          <w:t>Texas Association of Public Employees Retirement Systems</w:t>
        </w:r>
      </w:hyperlink>
      <w:r>
        <w:rPr>
          <w:color w:val="0E101A"/>
        </w:rPr>
        <w:t>. “The El Paso fund’s 20-year returns consistently average more than 8%, which is especially remarkable after the horrific market of 2022. But the El Paso system maintains its returns year after year.”</w:t>
      </w:r>
    </w:p>
    <w:p w14:paraId="0D01C772" w14:textId="77777777" w:rsidR="00B843F6" w:rsidRDefault="00B843F6" w:rsidP="00B843F6">
      <w:pPr>
        <w:pStyle w:val="NormalWeb"/>
        <w:spacing w:before="0" w:beforeAutospacing="0" w:after="0" w:afterAutospacing="0"/>
        <w:rPr>
          <w:color w:val="0E101A"/>
        </w:rPr>
      </w:pPr>
    </w:p>
    <w:p w14:paraId="184D19E3" w14:textId="77777777" w:rsidR="00B843F6" w:rsidRDefault="00B843F6" w:rsidP="00B843F6">
      <w:pPr>
        <w:pStyle w:val="NormalWeb"/>
        <w:spacing w:before="0" w:beforeAutospacing="0" w:after="0" w:afterAutospacing="0"/>
        <w:rPr>
          <w:color w:val="0E101A"/>
        </w:rPr>
      </w:pPr>
      <w:r>
        <w:rPr>
          <w:color w:val="0E101A"/>
        </w:rPr>
        <w:t>Mose referenced the </w:t>
      </w:r>
      <w:hyperlink r:id="rId13" w:tgtFrame="_blank" w:history="1">
        <w:r>
          <w:rPr>
            <w:rStyle w:val="Hyperlink"/>
            <w:color w:val="4A6EE0"/>
          </w:rPr>
          <w:t>TEXPERS Asset Allocation Study of 2023</w:t>
        </w:r>
      </w:hyperlink>
      <w:r>
        <w:rPr>
          <w:color w:val="0E101A"/>
        </w:rPr>
        <w:t>, an annual survey of Texas systems conducted by the Maples Group, which provides legal, fiduciary, fund, regulatory and compliance services. Twenty-six Texas pension funds representing approximately $13.41 billion in total assets responded to the survey for the period ending Sept. 30, 2022.</w:t>
      </w:r>
    </w:p>
    <w:p w14:paraId="60E6D927" w14:textId="77777777" w:rsidR="00B843F6" w:rsidRDefault="00B843F6" w:rsidP="00B843F6">
      <w:pPr>
        <w:pStyle w:val="NormalWeb"/>
        <w:spacing w:before="0" w:beforeAutospacing="0" w:after="0" w:afterAutospacing="0"/>
        <w:rPr>
          <w:color w:val="0E101A"/>
        </w:rPr>
      </w:pPr>
    </w:p>
    <w:p w14:paraId="13259625" w14:textId="47B6B1C5" w:rsidR="00B843F6" w:rsidRDefault="00B843F6" w:rsidP="00B843F6">
      <w:pPr>
        <w:pStyle w:val="NormalWeb"/>
        <w:spacing w:before="0" w:beforeAutospacing="0" w:after="0" w:afterAutospacing="0"/>
        <w:rPr>
          <w:color w:val="0E101A"/>
        </w:rPr>
      </w:pPr>
      <w:r>
        <w:rPr>
          <w:color w:val="0E101A"/>
        </w:rPr>
        <w:t>The study confirmed that the El Paso Firemen and Policemen’s Pension Fund’s 20-year average return of 8.</w:t>
      </w:r>
      <w:r w:rsidR="00B80C02">
        <w:rPr>
          <w:color w:val="0E101A"/>
        </w:rPr>
        <w:t>12</w:t>
      </w:r>
      <w:r>
        <w:rPr>
          <w:color w:val="0E101A"/>
        </w:rPr>
        <w:t xml:space="preserve">% outperformed the average of the responding systems by nearly 1.5%, with only slightly more risk, for the 20-year period. It also beat a stock and bond index used to benchmark pension performance by more than </w:t>
      </w:r>
      <w:r w:rsidR="00DD38FB">
        <w:rPr>
          <w:color w:val="0E101A"/>
        </w:rPr>
        <w:t>2%</w:t>
      </w:r>
      <w:r>
        <w:rPr>
          <w:color w:val="0E101A"/>
        </w:rPr>
        <w:t>. </w:t>
      </w:r>
    </w:p>
    <w:p w14:paraId="23FDCF47" w14:textId="77777777" w:rsidR="00B843F6" w:rsidRDefault="00B843F6" w:rsidP="00B843F6">
      <w:pPr>
        <w:pStyle w:val="NormalWeb"/>
        <w:spacing w:before="0" w:beforeAutospacing="0" w:after="0" w:afterAutospacing="0"/>
        <w:rPr>
          <w:color w:val="0E101A"/>
        </w:rPr>
      </w:pPr>
    </w:p>
    <w:p w14:paraId="0E74DBE4" w14:textId="77777777" w:rsidR="00DE6956" w:rsidRDefault="00DE6956" w:rsidP="00DE6956">
      <w:pPr>
        <w:pStyle w:val="NormalWeb"/>
        <w:spacing w:before="0" w:beforeAutospacing="0" w:after="0" w:afterAutospacing="0"/>
        <w:rPr>
          <w:color w:val="0E101A"/>
        </w:rPr>
      </w:pPr>
      <w:r>
        <w:rPr>
          <w:color w:val="0E101A"/>
        </w:rPr>
        <w:t>“El Paso’s pension system for firefighters and police had a significantly higher return with only a slightly higher standard deviation than the benchmark,” said James Perry, the Maples Group analyst who administers the study. “Standard deviation measures the dispersion, or volatility, of quarterly returns around their average value. The benchmark had a lower standard deviation but also a much lower return than EPFPPF, so the El Paso system managed risk well for the strong returns it generated.” </w:t>
      </w:r>
    </w:p>
    <w:p w14:paraId="003FB79A" w14:textId="77777777" w:rsidR="00B843F6" w:rsidRDefault="00B843F6" w:rsidP="00B843F6">
      <w:pPr>
        <w:pStyle w:val="NormalWeb"/>
        <w:spacing w:before="0" w:beforeAutospacing="0" w:after="0" w:afterAutospacing="0"/>
        <w:rPr>
          <w:color w:val="0E101A"/>
        </w:rPr>
      </w:pPr>
    </w:p>
    <w:p w14:paraId="277345DF" w14:textId="77777777" w:rsidR="00B843F6" w:rsidRDefault="00B843F6" w:rsidP="00B843F6">
      <w:pPr>
        <w:pStyle w:val="NormalWeb"/>
        <w:spacing w:before="0" w:beforeAutospacing="0" w:after="0" w:afterAutospacing="0"/>
        <w:rPr>
          <w:color w:val="0E101A"/>
        </w:rPr>
      </w:pPr>
      <w:r>
        <w:rPr>
          <w:color w:val="0E101A"/>
        </w:rPr>
        <w:t>Mose noted that the 20-year average coincides with the typical retirement requirement for public employees for 20 or more years of service. Public employees’ retirement security hinges on pension fund investing performance that meets or exceeds investment targets, mainly because the City of El Paso does not participate in Social Security for its police and firefighters. </w:t>
      </w:r>
    </w:p>
    <w:p w14:paraId="0C4C34F6" w14:textId="77777777" w:rsidR="00B843F6" w:rsidRDefault="00B843F6" w:rsidP="00B843F6">
      <w:pPr>
        <w:pStyle w:val="NormalWeb"/>
        <w:spacing w:before="0" w:beforeAutospacing="0" w:after="0" w:afterAutospacing="0"/>
        <w:rPr>
          <w:color w:val="0E101A"/>
        </w:rPr>
      </w:pPr>
    </w:p>
    <w:p w14:paraId="62988507" w14:textId="76BEA006" w:rsidR="00B843F6" w:rsidRDefault="00B843F6" w:rsidP="00B843F6">
      <w:pPr>
        <w:pStyle w:val="NormalWeb"/>
        <w:spacing w:before="0" w:beforeAutospacing="0" w:after="0" w:afterAutospacing="0"/>
        <w:rPr>
          <w:color w:val="0E101A"/>
        </w:rPr>
      </w:pPr>
      <w:r>
        <w:rPr>
          <w:color w:val="0E101A"/>
        </w:rPr>
        <w:t>TEXPERS released its yearly “</w:t>
      </w:r>
      <w:hyperlink r:id="rId14" w:tgtFrame="_blank" w:history="1">
        <w:r>
          <w:rPr>
            <w:rStyle w:val="Hyperlink"/>
            <w:color w:val="4A6EE0"/>
          </w:rPr>
          <w:t>Report on the Asset Allocation and Investment Performance of Texas Public Employee Retirement Systems</w:t>
        </w:r>
      </w:hyperlink>
      <w:r>
        <w:rPr>
          <w:color w:val="0E101A"/>
        </w:rPr>
        <w:t>” at its Summer Conference for pension fund trustees and staff in The Woodlands, held Aug</w:t>
      </w:r>
      <w:r w:rsidR="001E7F28">
        <w:rPr>
          <w:color w:val="0E101A"/>
        </w:rPr>
        <w:t>.</w:t>
      </w:r>
      <w:r>
        <w:rPr>
          <w:color w:val="0E101A"/>
        </w:rPr>
        <w:t xml:space="preserve"> 14-15. Approximately 350 people attended. </w:t>
      </w:r>
    </w:p>
    <w:p w14:paraId="10343836" w14:textId="77777777" w:rsidR="00B843F6" w:rsidRDefault="00B843F6" w:rsidP="00B843F6">
      <w:pPr>
        <w:pStyle w:val="NormalWeb"/>
        <w:spacing w:before="0" w:beforeAutospacing="0" w:after="0" w:afterAutospacing="0"/>
        <w:rPr>
          <w:color w:val="0E101A"/>
        </w:rPr>
      </w:pPr>
    </w:p>
    <w:p w14:paraId="3E5D1ADA" w14:textId="77777777" w:rsidR="00B843F6" w:rsidRDefault="00B843F6" w:rsidP="00B843F6">
      <w:pPr>
        <w:pStyle w:val="NormalWeb"/>
        <w:spacing w:before="0" w:beforeAutospacing="0" w:after="0" w:afterAutospacing="0"/>
        <w:jc w:val="center"/>
        <w:rPr>
          <w:color w:val="0E101A"/>
        </w:rPr>
      </w:pPr>
      <w:r>
        <w:rPr>
          <w:color w:val="0E101A"/>
          <w:u w:val="single"/>
        </w:rPr>
        <w:t>***Ends***</w:t>
      </w:r>
    </w:p>
    <w:p w14:paraId="14DBEF9F" w14:textId="77777777" w:rsidR="00B843F6" w:rsidRDefault="00B843F6" w:rsidP="00B843F6">
      <w:pPr>
        <w:pStyle w:val="NormalWeb"/>
        <w:spacing w:before="0" w:beforeAutospacing="0" w:after="0" w:afterAutospacing="0"/>
        <w:rPr>
          <w:color w:val="0E101A"/>
        </w:rPr>
      </w:pPr>
    </w:p>
    <w:p w14:paraId="548452BE" w14:textId="77777777" w:rsidR="00B843F6" w:rsidRDefault="00B843F6" w:rsidP="00B843F6">
      <w:pPr>
        <w:pStyle w:val="NormalWeb"/>
        <w:spacing w:before="0" w:beforeAutospacing="0" w:after="0" w:afterAutospacing="0"/>
        <w:rPr>
          <w:color w:val="0E101A"/>
        </w:rPr>
      </w:pPr>
      <w:r>
        <w:rPr>
          <w:color w:val="0E101A"/>
          <w:u w:val="single"/>
        </w:rPr>
        <w:t>NOTE TO EDITORS:</w:t>
      </w:r>
      <w:r>
        <w:rPr>
          <w:color w:val="0E101A"/>
        </w:rPr>
        <w:t> The global aggregate index referenced in the fourth paragraph is a combination of 60% of the MSCI ACWI equity index and 40% of the Bloomberg Barclays Global Aggregate fixed income index.</w:t>
      </w:r>
    </w:p>
    <w:p w14:paraId="736734C3" w14:textId="77777777" w:rsidR="00B843F6" w:rsidRDefault="00B843F6" w:rsidP="00B843F6">
      <w:pPr>
        <w:pStyle w:val="NormalWeb"/>
        <w:spacing w:before="0" w:beforeAutospacing="0" w:after="0" w:afterAutospacing="0"/>
        <w:rPr>
          <w:color w:val="0E101A"/>
        </w:rPr>
      </w:pPr>
    </w:p>
    <w:p w14:paraId="596012B3" w14:textId="77777777" w:rsidR="00B843F6" w:rsidRDefault="000A4A4D" w:rsidP="00B843F6">
      <w:pPr>
        <w:pStyle w:val="NormalWeb"/>
        <w:spacing w:before="0" w:beforeAutospacing="0" w:after="0" w:afterAutospacing="0"/>
        <w:rPr>
          <w:color w:val="0E101A"/>
        </w:rPr>
      </w:pPr>
      <w:hyperlink r:id="rId15" w:tgtFrame="_blank" w:history="1">
        <w:r w:rsidR="00B843F6">
          <w:rPr>
            <w:rStyle w:val="Hyperlink"/>
            <w:color w:val="4A6EE0"/>
          </w:rPr>
          <w:t>ABOUT TEXPERS</w:t>
        </w:r>
      </w:hyperlink>
    </w:p>
    <w:p w14:paraId="55BA5297" w14:textId="4100D8D7" w:rsidR="00B843F6" w:rsidRDefault="00B843F6" w:rsidP="00B843F6">
      <w:pPr>
        <w:pStyle w:val="NormalWeb"/>
        <w:spacing w:before="0" w:beforeAutospacing="0" w:after="0" w:afterAutospacing="0"/>
        <w:rPr>
          <w:color w:val="0E101A"/>
        </w:rPr>
      </w:pPr>
      <w:r>
        <w:rPr>
          <w:color w:val="0E101A"/>
        </w:rPr>
        <w:t>The Texas Association of Public Employee Retirement Systems is a voluntary nonprofit association that provides education and legislative advisory services to the trustees, administrators, professional service providers, and employee groups that manage the retirement money of police officers, firefighters, and municipal and district employees in cities across Texas.</w:t>
      </w:r>
    </w:p>
    <w:p w14:paraId="5B4099C8" w14:textId="67FF4478" w:rsidR="005A6313" w:rsidRPr="00CE6BFF" w:rsidRDefault="005A6313" w:rsidP="00B843F6">
      <w:pPr>
        <w:spacing w:line="360" w:lineRule="auto"/>
        <w:rPr>
          <w:sz w:val="24"/>
        </w:rPr>
      </w:pPr>
    </w:p>
    <w:sectPr w:rsidR="005A6313" w:rsidRPr="00CE6BFF" w:rsidSect="00E40203">
      <w:footerReference w:type="default" r:id="rId1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585C" w14:textId="77777777" w:rsidR="00C1668B" w:rsidRDefault="00C1668B" w:rsidP="00693202">
      <w:pPr>
        <w:spacing w:after="0" w:line="240" w:lineRule="auto"/>
      </w:pPr>
      <w:r>
        <w:separator/>
      </w:r>
    </w:p>
  </w:endnote>
  <w:endnote w:type="continuationSeparator" w:id="0">
    <w:p w14:paraId="7B628C90" w14:textId="77777777" w:rsidR="00C1668B" w:rsidRDefault="00C1668B" w:rsidP="0069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BoldCon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205B" w14:textId="77777777" w:rsidR="002F4C8F" w:rsidRDefault="002F4C8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335B0E5" w14:textId="77777777" w:rsidR="002F4C8F" w:rsidRDefault="002F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8C9C" w14:textId="77777777" w:rsidR="00C1668B" w:rsidRDefault="00C1668B" w:rsidP="00693202">
      <w:pPr>
        <w:spacing w:after="0" w:line="240" w:lineRule="auto"/>
      </w:pPr>
      <w:r>
        <w:separator/>
      </w:r>
    </w:p>
  </w:footnote>
  <w:footnote w:type="continuationSeparator" w:id="0">
    <w:p w14:paraId="07278D33" w14:textId="77777777" w:rsidR="00C1668B" w:rsidRDefault="00C1668B" w:rsidP="00693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433"/>
    <w:multiLevelType w:val="hybridMultilevel"/>
    <w:tmpl w:val="418ACB9C"/>
    <w:lvl w:ilvl="0" w:tplc="1EF0403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5445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13"/>
    <w:rsid w:val="00003843"/>
    <w:rsid w:val="000118AA"/>
    <w:rsid w:val="00014EB2"/>
    <w:rsid w:val="0001685C"/>
    <w:rsid w:val="000179E3"/>
    <w:rsid w:val="0002761B"/>
    <w:rsid w:val="00046D83"/>
    <w:rsid w:val="00047B06"/>
    <w:rsid w:val="00054354"/>
    <w:rsid w:val="00055DF4"/>
    <w:rsid w:val="000665FE"/>
    <w:rsid w:val="00067539"/>
    <w:rsid w:val="00070D40"/>
    <w:rsid w:val="00074326"/>
    <w:rsid w:val="00075D1B"/>
    <w:rsid w:val="000769B5"/>
    <w:rsid w:val="000928EB"/>
    <w:rsid w:val="000A4A4D"/>
    <w:rsid w:val="000C0C87"/>
    <w:rsid w:val="000C415F"/>
    <w:rsid w:val="000C704B"/>
    <w:rsid w:val="000D5A25"/>
    <w:rsid w:val="000D77D1"/>
    <w:rsid w:val="000E0576"/>
    <w:rsid w:val="000E3BE2"/>
    <w:rsid w:val="000E42D4"/>
    <w:rsid w:val="000E5DAC"/>
    <w:rsid w:val="000F0FCB"/>
    <w:rsid w:val="00116CC7"/>
    <w:rsid w:val="0012383B"/>
    <w:rsid w:val="00125071"/>
    <w:rsid w:val="00127E53"/>
    <w:rsid w:val="00127E55"/>
    <w:rsid w:val="00127ED4"/>
    <w:rsid w:val="0014364F"/>
    <w:rsid w:val="00145CB2"/>
    <w:rsid w:val="001543CF"/>
    <w:rsid w:val="00156941"/>
    <w:rsid w:val="00164519"/>
    <w:rsid w:val="0016778E"/>
    <w:rsid w:val="00170790"/>
    <w:rsid w:val="00175F65"/>
    <w:rsid w:val="001763AE"/>
    <w:rsid w:val="0018285E"/>
    <w:rsid w:val="00185452"/>
    <w:rsid w:val="001933DF"/>
    <w:rsid w:val="00196980"/>
    <w:rsid w:val="001A0B56"/>
    <w:rsid w:val="001A6D06"/>
    <w:rsid w:val="001B2EC0"/>
    <w:rsid w:val="001B62B0"/>
    <w:rsid w:val="001C122E"/>
    <w:rsid w:val="001C4FC2"/>
    <w:rsid w:val="001E1755"/>
    <w:rsid w:val="001E3065"/>
    <w:rsid w:val="001E5897"/>
    <w:rsid w:val="001E7356"/>
    <w:rsid w:val="001E7F28"/>
    <w:rsid w:val="00200326"/>
    <w:rsid w:val="00206934"/>
    <w:rsid w:val="00210468"/>
    <w:rsid w:val="002177AB"/>
    <w:rsid w:val="002242E2"/>
    <w:rsid w:val="00264FFE"/>
    <w:rsid w:val="002679F2"/>
    <w:rsid w:val="002720AB"/>
    <w:rsid w:val="00274C3B"/>
    <w:rsid w:val="0028388B"/>
    <w:rsid w:val="002865CA"/>
    <w:rsid w:val="0028697E"/>
    <w:rsid w:val="002917E4"/>
    <w:rsid w:val="00291ACE"/>
    <w:rsid w:val="00293CDC"/>
    <w:rsid w:val="002A11D4"/>
    <w:rsid w:val="002A3865"/>
    <w:rsid w:val="002A3E11"/>
    <w:rsid w:val="002C1B4F"/>
    <w:rsid w:val="002D647B"/>
    <w:rsid w:val="002D6D1B"/>
    <w:rsid w:val="002E0207"/>
    <w:rsid w:val="002F4C8F"/>
    <w:rsid w:val="003022D8"/>
    <w:rsid w:val="00310463"/>
    <w:rsid w:val="00312877"/>
    <w:rsid w:val="00316629"/>
    <w:rsid w:val="00316F73"/>
    <w:rsid w:val="00333F9A"/>
    <w:rsid w:val="00342EA8"/>
    <w:rsid w:val="00343F1A"/>
    <w:rsid w:val="003455F5"/>
    <w:rsid w:val="00352B19"/>
    <w:rsid w:val="003559AB"/>
    <w:rsid w:val="00362FD6"/>
    <w:rsid w:val="00363C4B"/>
    <w:rsid w:val="00380F31"/>
    <w:rsid w:val="0038486E"/>
    <w:rsid w:val="00392E90"/>
    <w:rsid w:val="00393BA3"/>
    <w:rsid w:val="003A7887"/>
    <w:rsid w:val="003B25AC"/>
    <w:rsid w:val="003B4C33"/>
    <w:rsid w:val="003C312F"/>
    <w:rsid w:val="003C4B21"/>
    <w:rsid w:val="003C6D8E"/>
    <w:rsid w:val="003D6D2F"/>
    <w:rsid w:val="003E5F42"/>
    <w:rsid w:val="003E703C"/>
    <w:rsid w:val="00405FC5"/>
    <w:rsid w:val="00435332"/>
    <w:rsid w:val="00435DFE"/>
    <w:rsid w:val="0044021C"/>
    <w:rsid w:val="00442184"/>
    <w:rsid w:val="00442CF2"/>
    <w:rsid w:val="004432FF"/>
    <w:rsid w:val="004519E1"/>
    <w:rsid w:val="0046378C"/>
    <w:rsid w:val="00470122"/>
    <w:rsid w:val="004907F2"/>
    <w:rsid w:val="00492CD5"/>
    <w:rsid w:val="004A0233"/>
    <w:rsid w:val="004A2F6A"/>
    <w:rsid w:val="004A4192"/>
    <w:rsid w:val="004B55EF"/>
    <w:rsid w:val="004B5938"/>
    <w:rsid w:val="004C1C55"/>
    <w:rsid w:val="004C1F75"/>
    <w:rsid w:val="004D14DC"/>
    <w:rsid w:val="004D4845"/>
    <w:rsid w:val="004E01B2"/>
    <w:rsid w:val="004F1B78"/>
    <w:rsid w:val="004F4BC2"/>
    <w:rsid w:val="00500585"/>
    <w:rsid w:val="00511DF9"/>
    <w:rsid w:val="00514991"/>
    <w:rsid w:val="00515D49"/>
    <w:rsid w:val="0051780E"/>
    <w:rsid w:val="0053075B"/>
    <w:rsid w:val="00540B66"/>
    <w:rsid w:val="00542B91"/>
    <w:rsid w:val="00546282"/>
    <w:rsid w:val="00547C82"/>
    <w:rsid w:val="00550EC0"/>
    <w:rsid w:val="00564850"/>
    <w:rsid w:val="00581DAF"/>
    <w:rsid w:val="005857B8"/>
    <w:rsid w:val="005905AF"/>
    <w:rsid w:val="00592D26"/>
    <w:rsid w:val="00596969"/>
    <w:rsid w:val="005A1DF2"/>
    <w:rsid w:val="005A3D23"/>
    <w:rsid w:val="005A6313"/>
    <w:rsid w:val="005B19C3"/>
    <w:rsid w:val="005B5559"/>
    <w:rsid w:val="005B7A69"/>
    <w:rsid w:val="005D11FE"/>
    <w:rsid w:val="005E0A41"/>
    <w:rsid w:val="005E7470"/>
    <w:rsid w:val="005F540E"/>
    <w:rsid w:val="0060470B"/>
    <w:rsid w:val="006100E9"/>
    <w:rsid w:val="00613021"/>
    <w:rsid w:val="006133C6"/>
    <w:rsid w:val="006217BD"/>
    <w:rsid w:val="00645EA1"/>
    <w:rsid w:val="00652ACA"/>
    <w:rsid w:val="006539B4"/>
    <w:rsid w:val="0065637F"/>
    <w:rsid w:val="00666BDA"/>
    <w:rsid w:val="00672513"/>
    <w:rsid w:val="00677B76"/>
    <w:rsid w:val="00693202"/>
    <w:rsid w:val="006974D9"/>
    <w:rsid w:val="00697CA0"/>
    <w:rsid w:val="006C2657"/>
    <w:rsid w:val="006D1838"/>
    <w:rsid w:val="006D61FF"/>
    <w:rsid w:val="006D6A28"/>
    <w:rsid w:val="006E7838"/>
    <w:rsid w:val="006F15F0"/>
    <w:rsid w:val="006F25B8"/>
    <w:rsid w:val="00704EB0"/>
    <w:rsid w:val="0070719C"/>
    <w:rsid w:val="00723F9F"/>
    <w:rsid w:val="00732DDE"/>
    <w:rsid w:val="00743CB2"/>
    <w:rsid w:val="00754FC4"/>
    <w:rsid w:val="00761C3F"/>
    <w:rsid w:val="00767D57"/>
    <w:rsid w:val="007719AD"/>
    <w:rsid w:val="00781EBF"/>
    <w:rsid w:val="00783EEB"/>
    <w:rsid w:val="00784795"/>
    <w:rsid w:val="007917FD"/>
    <w:rsid w:val="00795FCD"/>
    <w:rsid w:val="007968E1"/>
    <w:rsid w:val="007A7167"/>
    <w:rsid w:val="007A733A"/>
    <w:rsid w:val="007B23EA"/>
    <w:rsid w:val="007C22A3"/>
    <w:rsid w:val="007C3163"/>
    <w:rsid w:val="007C4216"/>
    <w:rsid w:val="007C7764"/>
    <w:rsid w:val="007D0EA2"/>
    <w:rsid w:val="007D166F"/>
    <w:rsid w:val="007D2204"/>
    <w:rsid w:val="007D3776"/>
    <w:rsid w:val="007D5235"/>
    <w:rsid w:val="007E764E"/>
    <w:rsid w:val="007F7668"/>
    <w:rsid w:val="007F7EAC"/>
    <w:rsid w:val="00804926"/>
    <w:rsid w:val="00815EA1"/>
    <w:rsid w:val="00833522"/>
    <w:rsid w:val="0084555F"/>
    <w:rsid w:val="00847D68"/>
    <w:rsid w:val="00861313"/>
    <w:rsid w:val="00864C54"/>
    <w:rsid w:val="00864F4D"/>
    <w:rsid w:val="00866200"/>
    <w:rsid w:val="0087153B"/>
    <w:rsid w:val="0087567A"/>
    <w:rsid w:val="0088423D"/>
    <w:rsid w:val="008849D3"/>
    <w:rsid w:val="00885A63"/>
    <w:rsid w:val="00891233"/>
    <w:rsid w:val="008B6D40"/>
    <w:rsid w:val="008C0612"/>
    <w:rsid w:val="008C168B"/>
    <w:rsid w:val="008D257A"/>
    <w:rsid w:val="008D42CB"/>
    <w:rsid w:val="008D6207"/>
    <w:rsid w:val="008D62A5"/>
    <w:rsid w:val="008D7B0B"/>
    <w:rsid w:val="008E44D2"/>
    <w:rsid w:val="008E45D0"/>
    <w:rsid w:val="009053D1"/>
    <w:rsid w:val="00916E95"/>
    <w:rsid w:val="0092029C"/>
    <w:rsid w:val="00940ECE"/>
    <w:rsid w:val="009417C9"/>
    <w:rsid w:val="009423FE"/>
    <w:rsid w:val="0095240F"/>
    <w:rsid w:val="00954271"/>
    <w:rsid w:val="009639E5"/>
    <w:rsid w:val="00965DD3"/>
    <w:rsid w:val="00973123"/>
    <w:rsid w:val="0098443B"/>
    <w:rsid w:val="009A2218"/>
    <w:rsid w:val="009B5D47"/>
    <w:rsid w:val="009B7CDE"/>
    <w:rsid w:val="009C05BF"/>
    <w:rsid w:val="009C1E4F"/>
    <w:rsid w:val="009C2574"/>
    <w:rsid w:val="009C2C9F"/>
    <w:rsid w:val="009C59E9"/>
    <w:rsid w:val="009F3B8A"/>
    <w:rsid w:val="009F3D9C"/>
    <w:rsid w:val="00A03813"/>
    <w:rsid w:val="00A0453A"/>
    <w:rsid w:val="00A0458C"/>
    <w:rsid w:val="00A1191A"/>
    <w:rsid w:val="00A119EC"/>
    <w:rsid w:val="00A13D1A"/>
    <w:rsid w:val="00A14701"/>
    <w:rsid w:val="00A34577"/>
    <w:rsid w:val="00A37478"/>
    <w:rsid w:val="00A41B44"/>
    <w:rsid w:val="00A47C58"/>
    <w:rsid w:val="00A53462"/>
    <w:rsid w:val="00A60A9D"/>
    <w:rsid w:val="00A6267D"/>
    <w:rsid w:val="00A7497A"/>
    <w:rsid w:val="00A8051A"/>
    <w:rsid w:val="00A845E5"/>
    <w:rsid w:val="00A84E19"/>
    <w:rsid w:val="00A867F5"/>
    <w:rsid w:val="00AA233E"/>
    <w:rsid w:val="00AA3D77"/>
    <w:rsid w:val="00AC2D65"/>
    <w:rsid w:val="00AC798D"/>
    <w:rsid w:val="00AD0703"/>
    <w:rsid w:val="00AD28B9"/>
    <w:rsid w:val="00AE6776"/>
    <w:rsid w:val="00AF5468"/>
    <w:rsid w:val="00AF75DC"/>
    <w:rsid w:val="00AF7FE7"/>
    <w:rsid w:val="00B02D53"/>
    <w:rsid w:val="00B02F75"/>
    <w:rsid w:val="00B14B28"/>
    <w:rsid w:val="00B214C5"/>
    <w:rsid w:val="00B2166C"/>
    <w:rsid w:val="00B44F4C"/>
    <w:rsid w:val="00B51C03"/>
    <w:rsid w:val="00B53F4B"/>
    <w:rsid w:val="00B551DB"/>
    <w:rsid w:val="00B6276B"/>
    <w:rsid w:val="00B71B90"/>
    <w:rsid w:val="00B727C1"/>
    <w:rsid w:val="00B7535E"/>
    <w:rsid w:val="00B80C02"/>
    <w:rsid w:val="00B843F6"/>
    <w:rsid w:val="00B85841"/>
    <w:rsid w:val="00B91DA7"/>
    <w:rsid w:val="00B95705"/>
    <w:rsid w:val="00BA4B5A"/>
    <w:rsid w:val="00BA5A30"/>
    <w:rsid w:val="00BB21B3"/>
    <w:rsid w:val="00BB478B"/>
    <w:rsid w:val="00BB7E25"/>
    <w:rsid w:val="00BC2951"/>
    <w:rsid w:val="00BD1925"/>
    <w:rsid w:val="00BE05A8"/>
    <w:rsid w:val="00BE4621"/>
    <w:rsid w:val="00BE662E"/>
    <w:rsid w:val="00BF0F16"/>
    <w:rsid w:val="00BF509B"/>
    <w:rsid w:val="00C1668B"/>
    <w:rsid w:val="00C22BAB"/>
    <w:rsid w:val="00C2455B"/>
    <w:rsid w:val="00C26E9B"/>
    <w:rsid w:val="00C27F4B"/>
    <w:rsid w:val="00C3396E"/>
    <w:rsid w:val="00C339C8"/>
    <w:rsid w:val="00C33A51"/>
    <w:rsid w:val="00C36C84"/>
    <w:rsid w:val="00C37B28"/>
    <w:rsid w:val="00C44BB5"/>
    <w:rsid w:val="00C6163E"/>
    <w:rsid w:val="00C65090"/>
    <w:rsid w:val="00C74475"/>
    <w:rsid w:val="00C74C31"/>
    <w:rsid w:val="00C750FB"/>
    <w:rsid w:val="00C77CF0"/>
    <w:rsid w:val="00C831DE"/>
    <w:rsid w:val="00C871D9"/>
    <w:rsid w:val="00C87790"/>
    <w:rsid w:val="00C96ECA"/>
    <w:rsid w:val="00CA40A9"/>
    <w:rsid w:val="00CB32D7"/>
    <w:rsid w:val="00CB57E4"/>
    <w:rsid w:val="00CB64CF"/>
    <w:rsid w:val="00CB66BC"/>
    <w:rsid w:val="00CC29E5"/>
    <w:rsid w:val="00CC44EF"/>
    <w:rsid w:val="00CC5E5D"/>
    <w:rsid w:val="00CD36F0"/>
    <w:rsid w:val="00CD7420"/>
    <w:rsid w:val="00CE4E63"/>
    <w:rsid w:val="00CE6BFF"/>
    <w:rsid w:val="00CF3E90"/>
    <w:rsid w:val="00CF651A"/>
    <w:rsid w:val="00D00183"/>
    <w:rsid w:val="00D171C4"/>
    <w:rsid w:val="00D23E18"/>
    <w:rsid w:val="00D2429C"/>
    <w:rsid w:val="00D31DA9"/>
    <w:rsid w:val="00D33504"/>
    <w:rsid w:val="00D33804"/>
    <w:rsid w:val="00D533AE"/>
    <w:rsid w:val="00D5725C"/>
    <w:rsid w:val="00D61811"/>
    <w:rsid w:val="00D643ED"/>
    <w:rsid w:val="00D74577"/>
    <w:rsid w:val="00D77813"/>
    <w:rsid w:val="00D83517"/>
    <w:rsid w:val="00DA1A8D"/>
    <w:rsid w:val="00DA7238"/>
    <w:rsid w:val="00DB0562"/>
    <w:rsid w:val="00DB1E37"/>
    <w:rsid w:val="00DB33CD"/>
    <w:rsid w:val="00DC16E3"/>
    <w:rsid w:val="00DC6B6D"/>
    <w:rsid w:val="00DD187D"/>
    <w:rsid w:val="00DD38FB"/>
    <w:rsid w:val="00DE6956"/>
    <w:rsid w:val="00DF0022"/>
    <w:rsid w:val="00E070D1"/>
    <w:rsid w:val="00E16BE8"/>
    <w:rsid w:val="00E23B3A"/>
    <w:rsid w:val="00E32DED"/>
    <w:rsid w:val="00E40203"/>
    <w:rsid w:val="00E53B47"/>
    <w:rsid w:val="00E5776D"/>
    <w:rsid w:val="00E57FE0"/>
    <w:rsid w:val="00E62E4B"/>
    <w:rsid w:val="00E71D7F"/>
    <w:rsid w:val="00E75925"/>
    <w:rsid w:val="00E77376"/>
    <w:rsid w:val="00E857E1"/>
    <w:rsid w:val="00E901EE"/>
    <w:rsid w:val="00E9734F"/>
    <w:rsid w:val="00E97AF8"/>
    <w:rsid w:val="00EA5CF4"/>
    <w:rsid w:val="00EA6A4E"/>
    <w:rsid w:val="00EB0829"/>
    <w:rsid w:val="00EB1DAC"/>
    <w:rsid w:val="00EC1FCC"/>
    <w:rsid w:val="00EC529A"/>
    <w:rsid w:val="00ED20E0"/>
    <w:rsid w:val="00ED237A"/>
    <w:rsid w:val="00ED7A68"/>
    <w:rsid w:val="00EE1A81"/>
    <w:rsid w:val="00EE7984"/>
    <w:rsid w:val="00EF623F"/>
    <w:rsid w:val="00F10024"/>
    <w:rsid w:val="00F111D0"/>
    <w:rsid w:val="00F22E3C"/>
    <w:rsid w:val="00F26CFC"/>
    <w:rsid w:val="00F371A7"/>
    <w:rsid w:val="00F448A8"/>
    <w:rsid w:val="00F57201"/>
    <w:rsid w:val="00F61084"/>
    <w:rsid w:val="00F72D20"/>
    <w:rsid w:val="00F72E28"/>
    <w:rsid w:val="00F75455"/>
    <w:rsid w:val="00F75A19"/>
    <w:rsid w:val="00F83367"/>
    <w:rsid w:val="00F91139"/>
    <w:rsid w:val="00F95FD2"/>
    <w:rsid w:val="00F96386"/>
    <w:rsid w:val="00FB30C3"/>
    <w:rsid w:val="00FC5DBB"/>
    <w:rsid w:val="00FD3C18"/>
    <w:rsid w:val="00FE3669"/>
    <w:rsid w:val="00FE5F3C"/>
    <w:rsid w:val="00FE7536"/>
    <w:rsid w:val="00FF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D3EC"/>
  <w15:docId w15:val="{32FE933C-644B-42DE-A116-244855A6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313"/>
    <w:rPr>
      <w:color w:val="0000FF"/>
      <w:u w:val="single"/>
    </w:rPr>
  </w:style>
  <w:style w:type="character" w:customStyle="1" w:styleId="UnresolvedMention1">
    <w:name w:val="Unresolved Mention1"/>
    <w:basedOn w:val="DefaultParagraphFont"/>
    <w:uiPriority w:val="99"/>
    <w:semiHidden/>
    <w:unhideWhenUsed/>
    <w:rsid w:val="00885A63"/>
    <w:rPr>
      <w:color w:val="605E5C"/>
      <w:shd w:val="clear" w:color="auto" w:fill="E1DFDD"/>
    </w:rPr>
  </w:style>
  <w:style w:type="paragraph" w:customStyle="1" w:styleId="Default">
    <w:name w:val="Default"/>
    <w:rsid w:val="006974D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D9"/>
    <w:rPr>
      <w:rFonts w:ascii="Tahoma" w:hAnsi="Tahoma" w:cs="Tahoma"/>
      <w:sz w:val="16"/>
      <w:szCs w:val="16"/>
    </w:rPr>
  </w:style>
  <w:style w:type="character" w:styleId="FollowedHyperlink">
    <w:name w:val="FollowedHyperlink"/>
    <w:basedOn w:val="DefaultParagraphFont"/>
    <w:uiPriority w:val="99"/>
    <w:semiHidden/>
    <w:unhideWhenUsed/>
    <w:rsid w:val="003022D8"/>
    <w:rPr>
      <w:color w:val="954F72" w:themeColor="followedHyperlink"/>
      <w:u w:val="single"/>
    </w:rPr>
  </w:style>
  <w:style w:type="paragraph" w:styleId="Header">
    <w:name w:val="header"/>
    <w:basedOn w:val="Normal"/>
    <w:link w:val="HeaderChar"/>
    <w:uiPriority w:val="99"/>
    <w:unhideWhenUsed/>
    <w:rsid w:val="0069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02"/>
  </w:style>
  <w:style w:type="paragraph" w:styleId="Footer">
    <w:name w:val="footer"/>
    <w:basedOn w:val="Normal"/>
    <w:link w:val="FooterChar"/>
    <w:uiPriority w:val="99"/>
    <w:unhideWhenUsed/>
    <w:rsid w:val="0069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02"/>
  </w:style>
  <w:style w:type="table" w:styleId="TableGrid">
    <w:name w:val="Table Grid"/>
    <w:basedOn w:val="TableNormal"/>
    <w:uiPriority w:val="39"/>
    <w:rsid w:val="00C2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C22B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D33804"/>
    <w:rPr>
      <w:sz w:val="16"/>
      <w:szCs w:val="16"/>
    </w:rPr>
  </w:style>
  <w:style w:type="paragraph" w:styleId="CommentText">
    <w:name w:val="annotation text"/>
    <w:basedOn w:val="Normal"/>
    <w:link w:val="CommentTextChar"/>
    <w:uiPriority w:val="99"/>
    <w:semiHidden/>
    <w:unhideWhenUsed/>
    <w:rsid w:val="00D33804"/>
    <w:pPr>
      <w:spacing w:line="240" w:lineRule="auto"/>
    </w:pPr>
    <w:rPr>
      <w:sz w:val="20"/>
      <w:szCs w:val="20"/>
    </w:rPr>
  </w:style>
  <w:style w:type="character" w:customStyle="1" w:styleId="CommentTextChar">
    <w:name w:val="Comment Text Char"/>
    <w:basedOn w:val="DefaultParagraphFont"/>
    <w:link w:val="CommentText"/>
    <w:uiPriority w:val="99"/>
    <w:semiHidden/>
    <w:rsid w:val="00D33804"/>
    <w:rPr>
      <w:sz w:val="20"/>
      <w:szCs w:val="20"/>
    </w:rPr>
  </w:style>
  <w:style w:type="paragraph" w:styleId="CommentSubject">
    <w:name w:val="annotation subject"/>
    <w:basedOn w:val="CommentText"/>
    <w:next w:val="CommentText"/>
    <w:link w:val="CommentSubjectChar"/>
    <w:uiPriority w:val="99"/>
    <w:semiHidden/>
    <w:unhideWhenUsed/>
    <w:rsid w:val="00D33804"/>
    <w:rPr>
      <w:b/>
      <w:bCs/>
    </w:rPr>
  </w:style>
  <w:style w:type="character" w:customStyle="1" w:styleId="CommentSubjectChar">
    <w:name w:val="Comment Subject Char"/>
    <w:basedOn w:val="CommentTextChar"/>
    <w:link w:val="CommentSubject"/>
    <w:uiPriority w:val="99"/>
    <w:semiHidden/>
    <w:rsid w:val="00D33804"/>
    <w:rPr>
      <w:b/>
      <w:bCs/>
      <w:sz w:val="20"/>
      <w:szCs w:val="20"/>
    </w:rPr>
  </w:style>
  <w:style w:type="paragraph" w:styleId="NormalWeb">
    <w:name w:val="Normal (Web)"/>
    <w:basedOn w:val="Normal"/>
    <w:uiPriority w:val="99"/>
    <w:unhideWhenUsed/>
    <w:rsid w:val="000769B5"/>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12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50">
      <w:bodyDiv w:val="1"/>
      <w:marLeft w:val="0"/>
      <w:marRight w:val="0"/>
      <w:marTop w:val="0"/>
      <w:marBottom w:val="0"/>
      <w:divBdr>
        <w:top w:val="none" w:sz="0" w:space="0" w:color="auto"/>
        <w:left w:val="none" w:sz="0" w:space="0" w:color="auto"/>
        <w:bottom w:val="none" w:sz="0" w:space="0" w:color="auto"/>
        <w:right w:val="none" w:sz="0" w:space="0" w:color="auto"/>
      </w:divBdr>
    </w:div>
    <w:div w:id="146870587">
      <w:bodyDiv w:val="1"/>
      <w:marLeft w:val="0"/>
      <w:marRight w:val="0"/>
      <w:marTop w:val="0"/>
      <w:marBottom w:val="0"/>
      <w:divBdr>
        <w:top w:val="none" w:sz="0" w:space="0" w:color="auto"/>
        <w:left w:val="none" w:sz="0" w:space="0" w:color="auto"/>
        <w:bottom w:val="none" w:sz="0" w:space="0" w:color="auto"/>
        <w:right w:val="none" w:sz="0" w:space="0" w:color="auto"/>
      </w:divBdr>
    </w:div>
    <w:div w:id="174346585">
      <w:bodyDiv w:val="1"/>
      <w:marLeft w:val="0"/>
      <w:marRight w:val="0"/>
      <w:marTop w:val="0"/>
      <w:marBottom w:val="0"/>
      <w:divBdr>
        <w:top w:val="none" w:sz="0" w:space="0" w:color="auto"/>
        <w:left w:val="none" w:sz="0" w:space="0" w:color="auto"/>
        <w:bottom w:val="none" w:sz="0" w:space="0" w:color="auto"/>
        <w:right w:val="none" w:sz="0" w:space="0" w:color="auto"/>
      </w:divBdr>
    </w:div>
    <w:div w:id="239601660">
      <w:bodyDiv w:val="1"/>
      <w:marLeft w:val="0"/>
      <w:marRight w:val="0"/>
      <w:marTop w:val="0"/>
      <w:marBottom w:val="0"/>
      <w:divBdr>
        <w:top w:val="none" w:sz="0" w:space="0" w:color="auto"/>
        <w:left w:val="none" w:sz="0" w:space="0" w:color="auto"/>
        <w:bottom w:val="none" w:sz="0" w:space="0" w:color="auto"/>
        <w:right w:val="none" w:sz="0" w:space="0" w:color="auto"/>
      </w:divBdr>
    </w:div>
    <w:div w:id="1584605486">
      <w:bodyDiv w:val="1"/>
      <w:marLeft w:val="0"/>
      <w:marRight w:val="0"/>
      <w:marTop w:val="0"/>
      <w:marBottom w:val="0"/>
      <w:divBdr>
        <w:top w:val="none" w:sz="0" w:space="0" w:color="auto"/>
        <w:left w:val="none" w:sz="0" w:space="0" w:color="auto"/>
        <w:bottom w:val="none" w:sz="0" w:space="0" w:color="auto"/>
        <w:right w:val="none" w:sz="0" w:space="0" w:color="auto"/>
      </w:divBdr>
    </w:div>
    <w:div w:id="17386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pers.memberclicks.net/assets/docs/2023_Asset_Allocation/2023%20Asset%20Allocation%20Study%20-%20TEXPERS%20-%20for%2020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xper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expe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x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8C76A24802C4E9DFED61DFF069845" ma:contentTypeVersion="17" ma:contentTypeDescription="Create a new document." ma:contentTypeScope="" ma:versionID="623b1998e84f1ba6b24fb8c25698f21a">
  <xsd:schema xmlns:xsd="http://www.w3.org/2001/XMLSchema" xmlns:xs="http://www.w3.org/2001/XMLSchema" xmlns:p="http://schemas.microsoft.com/office/2006/metadata/properties" xmlns:ns2="35a3e3c2-3ad1-4290-bc21-f52dbd57af02" xmlns:ns3="3110bd10-2b1f-4bd3-aae5-1d79e1c0f6ca" targetNamespace="http://schemas.microsoft.com/office/2006/metadata/properties" ma:root="true" ma:fieldsID="4596660bf5a6093ee3653d6bbd257e37" ns2:_="" ns3:_="">
    <xsd:import namespace="35a3e3c2-3ad1-4290-bc21-f52dbd57af02"/>
    <xsd:import namespace="3110bd10-2b1f-4bd3-aae5-1d79e1c0f6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e3c2-3ad1-4290-bc21-f52dbd57a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9936de-e2b3-4f1d-b978-98718def93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0bd10-2b1f-4bd3-aae5-1d79e1c0f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45d99d-0eb0-4754-8554-389f434ae28a}" ma:internalName="TaxCatchAll" ma:showField="CatchAllData" ma:web="3110bd10-2b1f-4bd3-aae5-1d79e1c0f6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10bd10-2b1f-4bd3-aae5-1d79e1c0f6ca" xsi:nil="true"/>
    <lcf76f155ced4ddcb4097134ff3c332f xmlns="35a3e3c2-3ad1-4290-bc21-f52dbd57af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1FC77D-77BD-4F98-893F-5C5455041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e3c2-3ad1-4290-bc21-f52dbd57af02"/>
    <ds:schemaRef ds:uri="3110bd10-2b1f-4bd3-aae5-1d79e1c0f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BEBC4-BC76-4FAE-8A9D-90B3C9611CC1}">
  <ds:schemaRefs>
    <ds:schemaRef ds:uri="http://schemas.openxmlformats.org/officeDocument/2006/bibliography"/>
  </ds:schemaRefs>
</ds:datastoreItem>
</file>

<file path=customXml/itemProps3.xml><?xml version="1.0" encoding="utf-8"?>
<ds:datastoreItem xmlns:ds="http://schemas.openxmlformats.org/officeDocument/2006/customXml" ds:itemID="{D03940F6-D07C-46F4-BE91-D65AC1B4CFFC}">
  <ds:schemaRefs>
    <ds:schemaRef ds:uri="http://schemas.microsoft.com/sharepoint/v3/contenttype/forms"/>
  </ds:schemaRefs>
</ds:datastoreItem>
</file>

<file path=customXml/itemProps4.xml><?xml version="1.0" encoding="utf-8"?>
<ds:datastoreItem xmlns:ds="http://schemas.openxmlformats.org/officeDocument/2006/customXml" ds:itemID="{AEF213B6-43DD-4C0F-A078-C9F4EB9E6BC9}">
  <ds:schemaRefs>
    <ds:schemaRef ds:uri="http://schemas.microsoft.com/office/2006/metadata/properties"/>
    <ds:schemaRef ds:uri="http://schemas.microsoft.com/office/infopath/2007/PartnerControls"/>
    <ds:schemaRef ds:uri="3110bd10-2b1f-4bd3-aae5-1d79e1c0f6ca"/>
    <ds:schemaRef ds:uri="35a3e3c2-3ad1-4290-bc21-f52dbd57af0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MAPLES FINANCE</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Gimenez</dc:creator>
  <cp:lastModifiedBy>Joe Gimenez</cp:lastModifiedBy>
  <cp:revision>2</cp:revision>
  <cp:lastPrinted>2021-07-01T16:43:00Z</cp:lastPrinted>
  <dcterms:created xsi:type="dcterms:W3CDTF">2023-09-07T20:40:00Z</dcterms:created>
  <dcterms:modified xsi:type="dcterms:W3CDTF">2023-09-07T20:40:00Z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0x010100E248C76A24802C4E9DFED61DFF069845</vt:lpwstr>
  </property>
  <property fmtid="{D5CDD505-2E9C-101B-9397-08002B2CF9AE}" pid="3" name="GrammarlyDocumentId">
    <vt:lpwstr>652566f6ac95f2f78d5d7f6ac976fe13ad8442be9050001dab61a2cee9ca86b1</vt:lpwstr>
  </property>
</Properties>
</file>